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D4" w:rsidRDefault="00854C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4CD4" w:rsidRDefault="00854CD4">
      <w:pPr>
        <w:pStyle w:val="ConsPlusNormal"/>
        <w:jc w:val="center"/>
        <w:outlineLvl w:val="0"/>
      </w:pPr>
    </w:p>
    <w:p w:rsidR="00854CD4" w:rsidRDefault="00854CD4">
      <w:pPr>
        <w:pStyle w:val="ConsPlusTitle"/>
        <w:jc w:val="center"/>
        <w:outlineLvl w:val="0"/>
      </w:pPr>
      <w:r>
        <w:t>ГУБЕРНАТОР КУРГАНСКОЙ ОБЛАСТИ</w:t>
      </w:r>
    </w:p>
    <w:p w:rsidR="00854CD4" w:rsidRDefault="00854CD4">
      <w:pPr>
        <w:pStyle w:val="ConsPlusTitle"/>
        <w:jc w:val="center"/>
      </w:pPr>
    </w:p>
    <w:p w:rsidR="00854CD4" w:rsidRDefault="00854CD4">
      <w:pPr>
        <w:pStyle w:val="ConsPlusTitle"/>
        <w:jc w:val="center"/>
      </w:pPr>
      <w:r>
        <w:t>ПОСТАНОВЛЕНИЕ</w:t>
      </w:r>
    </w:p>
    <w:p w:rsidR="00854CD4" w:rsidRDefault="00854CD4">
      <w:pPr>
        <w:pStyle w:val="ConsPlusTitle"/>
        <w:jc w:val="center"/>
      </w:pPr>
      <w:r>
        <w:t>от 12 ноября 2021 г. N 148</w:t>
      </w:r>
    </w:p>
    <w:p w:rsidR="00854CD4" w:rsidRDefault="00854CD4">
      <w:pPr>
        <w:pStyle w:val="ConsPlusTitle"/>
        <w:jc w:val="center"/>
      </w:pPr>
    </w:p>
    <w:p w:rsidR="00854CD4" w:rsidRDefault="00854CD4">
      <w:pPr>
        <w:pStyle w:val="ConsPlusTitle"/>
        <w:jc w:val="center"/>
      </w:pPr>
      <w:r>
        <w:t>ОБ УТВЕРЖДЕНИИ ПОРЯДКА ОПРЕДЕЛЕНИЯ СООТВЕТСТВИЯ ОБЪЕКТОВ</w:t>
      </w:r>
    </w:p>
    <w:p w:rsidR="00854CD4" w:rsidRDefault="00854CD4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854CD4" w:rsidRDefault="00854CD4">
      <w:pPr>
        <w:pStyle w:val="ConsPlusTitle"/>
        <w:jc w:val="center"/>
      </w:pPr>
      <w:r>
        <w:t>МАСШТАБНЫХ ИНВЕСТИЦИОННЫХ ПРОЕКТОВ КРИТЕРИЯМ, УСТАНОВЛЕННЫМ</w:t>
      </w:r>
    </w:p>
    <w:p w:rsidR="00854CD4" w:rsidRDefault="00854CD4">
      <w:pPr>
        <w:pStyle w:val="ConsPlusTitle"/>
        <w:jc w:val="center"/>
      </w:pPr>
      <w:r>
        <w:t>ЗАКОНОМ КУРГАНСКОЙ ОБЛАСТИ ОТ 5 МАЯ 2015 ГОДА N 35 "</w:t>
      </w:r>
      <w:proofErr w:type="gramStart"/>
      <w:r>
        <w:t>ОБ</w:t>
      </w:r>
      <w:proofErr w:type="gramEnd"/>
    </w:p>
    <w:p w:rsidR="00854CD4" w:rsidRDefault="00854CD4">
      <w:pPr>
        <w:pStyle w:val="ConsPlusTitle"/>
        <w:jc w:val="center"/>
      </w:pPr>
      <w:proofErr w:type="gramStart"/>
      <w:r>
        <w:t>УТВЕРЖДЕНИИ</w:t>
      </w:r>
      <w:proofErr w:type="gramEnd"/>
      <w:r>
        <w:t xml:space="preserve"> КРИТЕРИЕВ, КОТОРЫМ ДОЛЖНЫ СООТВЕТСТВОВАТЬ</w:t>
      </w:r>
    </w:p>
    <w:p w:rsidR="00854CD4" w:rsidRDefault="00854CD4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854CD4" w:rsidRDefault="00854CD4">
      <w:pPr>
        <w:pStyle w:val="ConsPlusTitle"/>
        <w:jc w:val="center"/>
      </w:pPr>
      <w:r>
        <w:t>НАЗНАЧЕНИЯ, МАСШТАБНЫЕ ИНВЕСТИЦИОННЫЕ ПРОЕКТЫ,</w:t>
      </w:r>
    </w:p>
    <w:p w:rsidR="00854CD4" w:rsidRDefault="00854CD4">
      <w:pPr>
        <w:pStyle w:val="ConsPlusTitle"/>
        <w:jc w:val="center"/>
      </w:pPr>
      <w:r>
        <w:t>ДЛЯ РАЗМЕЩЕНИЯ (РЕАЛИЗАЦИИ) КОТОРЫХ ДОПУСКАЕТСЯ</w:t>
      </w:r>
    </w:p>
    <w:p w:rsidR="00854CD4" w:rsidRDefault="00854CD4">
      <w:pPr>
        <w:pStyle w:val="ConsPlusTitle"/>
        <w:jc w:val="center"/>
      </w:pPr>
      <w:r>
        <w:t>ПРЕДОСТАВЛЕНИЕ ЗЕМЕЛЬНОГО УЧАСТКА, НАХОДЯЩЕГОСЯ</w:t>
      </w:r>
    </w:p>
    <w:p w:rsidR="00854CD4" w:rsidRDefault="00854CD4">
      <w:pPr>
        <w:pStyle w:val="ConsPlusTitle"/>
        <w:jc w:val="center"/>
      </w:pPr>
      <w:r>
        <w:t>В ГОСУДАРСТВЕННОЙ ИЛИ МУНИЦИПАЛЬНОЙ СОБСТВЕННОСТИ, В АРЕНДУ</w:t>
      </w:r>
    </w:p>
    <w:p w:rsidR="00854CD4" w:rsidRDefault="00854CD4">
      <w:pPr>
        <w:pStyle w:val="ConsPlusTitle"/>
        <w:jc w:val="center"/>
      </w:pPr>
      <w:r>
        <w:t>ЮРИДИЧЕСКИМ ЛИЦАМ БЕЗ ПРОВЕДЕНИЯ ТОРГОВ"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Курганской области от 5 мая 2015 года N 35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 постановляю: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6" w:history="1">
        <w:r>
          <w:rPr>
            <w:color w:val="0000FF"/>
          </w:rPr>
          <w:t>Порядок</w:t>
        </w:r>
      </w:hyperlink>
      <w:r>
        <w:t xml:space="preserve">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Курганской области от 5 мая 2015 года N 35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 (далее</w:t>
      </w:r>
      <w:proofErr w:type="gramEnd"/>
      <w:r>
        <w:t xml:space="preserve"> - </w:t>
      </w:r>
      <w:proofErr w:type="gramStart"/>
      <w:r>
        <w:t>Закон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торгов"), согласно приложению к настоящему постановлению.</w:t>
      </w:r>
      <w:proofErr w:type="gramEnd"/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Курганской области представлять по запросам Департамента экономического развития Курганской области, Фонда "Инвестиционное агентство Курганской области" информацию, необходимую для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</w:t>
      </w:r>
      <w:proofErr w:type="gramEnd"/>
      <w:r>
        <w:t xml:space="preserve"> участка, находящегося в государственной или муниципальной собственности, в аренду юридическим лицам без проведения торгов", в пределах компетенции.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Курганской области от 23 мая 2017 года N 133 "Об утверждении Порядка </w:t>
      </w:r>
      <w:r>
        <w:lastRenderedPageBreak/>
        <w:t>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Курганской области от 5 мая 2015 года N 35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</w:t>
      </w:r>
      <w:proofErr w:type="gramEnd"/>
      <w:r>
        <w:t xml:space="preserve"> в государственной или муниципальной собственности, в аренду юридическим лицам без проведения торгов";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указ</w:t>
        </w:r>
      </w:hyperlink>
      <w:r>
        <w:t xml:space="preserve"> Губернатора Курганской области от 29 декабря 2018 года N 265 "О внесении изменений в указ Губернатора Курганской области от 23 мая 2017 года N 133".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4. Опубликовать настоящее постановление в установленном порядке.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Губернатора Курганской области по экономической политике.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right"/>
      </w:pPr>
      <w:r>
        <w:t>Губернатор Курганской области</w:t>
      </w:r>
    </w:p>
    <w:p w:rsidR="00854CD4" w:rsidRDefault="00854CD4">
      <w:pPr>
        <w:pStyle w:val="ConsPlusNormal"/>
        <w:jc w:val="right"/>
      </w:pPr>
      <w:r>
        <w:t>В.М.ШУМКОВ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right"/>
        <w:outlineLvl w:val="0"/>
      </w:pPr>
      <w:r>
        <w:t>Приложение</w:t>
      </w:r>
    </w:p>
    <w:p w:rsidR="00854CD4" w:rsidRDefault="00854CD4">
      <w:pPr>
        <w:pStyle w:val="ConsPlusNormal"/>
        <w:jc w:val="right"/>
      </w:pPr>
      <w:r>
        <w:t>к постановлению</w:t>
      </w:r>
    </w:p>
    <w:p w:rsidR="00854CD4" w:rsidRDefault="00854CD4">
      <w:pPr>
        <w:pStyle w:val="ConsPlusNormal"/>
        <w:jc w:val="right"/>
      </w:pPr>
      <w:r>
        <w:t>Губернатору Курганской области</w:t>
      </w:r>
    </w:p>
    <w:p w:rsidR="00854CD4" w:rsidRDefault="00854CD4">
      <w:pPr>
        <w:pStyle w:val="ConsPlusNormal"/>
        <w:jc w:val="right"/>
      </w:pPr>
      <w:r>
        <w:t>от 12 ноября 2021 г. N 148</w:t>
      </w:r>
    </w:p>
    <w:p w:rsidR="00854CD4" w:rsidRDefault="00854CD4">
      <w:pPr>
        <w:pStyle w:val="ConsPlusNormal"/>
        <w:jc w:val="right"/>
      </w:pPr>
      <w:r>
        <w:t>"Об утверждении Порядка</w:t>
      </w:r>
    </w:p>
    <w:p w:rsidR="00854CD4" w:rsidRDefault="00854CD4">
      <w:pPr>
        <w:pStyle w:val="ConsPlusNormal"/>
        <w:jc w:val="right"/>
      </w:pPr>
      <w:r>
        <w:t>определения соответствия объектов</w:t>
      </w:r>
    </w:p>
    <w:p w:rsidR="00854CD4" w:rsidRDefault="00854CD4">
      <w:pPr>
        <w:pStyle w:val="ConsPlusNormal"/>
        <w:jc w:val="right"/>
      </w:pPr>
      <w:r>
        <w:t>социально-культурного и коммунально-бытового</w:t>
      </w:r>
    </w:p>
    <w:p w:rsidR="00854CD4" w:rsidRDefault="00854CD4">
      <w:pPr>
        <w:pStyle w:val="ConsPlusNormal"/>
        <w:jc w:val="right"/>
      </w:pPr>
      <w:r>
        <w:t xml:space="preserve">назначения, </w:t>
      </w:r>
      <w:proofErr w:type="gramStart"/>
      <w:r>
        <w:t>масштабных</w:t>
      </w:r>
      <w:proofErr w:type="gramEnd"/>
      <w:r>
        <w:t xml:space="preserve"> инвестиционных</w:t>
      </w:r>
    </w:p>
    <w:p w:rsidR="00854CD4" w:rsidRDefault="00854CD4">
      <w:pPr>
        <w:pStyle w:val="ConsPlusNormal"/>
        <w:jc w:val="right"/>
      </w:pPr>
      <w:r>
        <w:t>проектов критериям, установленным</w:t>
      </w:r>
    </w:p>
    <w:p w:rsidR="00854CD4" w:rsidRDefault="00854CD4">
      <w:pPr>
        <w:pStyle w:val="ConsPlusNormal"/>
        <w:jc w:val="right"/>
      </w:pPr>
      <w:r>
        <w:t>Законом Курганской области</w:t>
      </w:r>
    </w:p>
    <w:p w:rsidR="00854CD4" w:rsidRDefault="00854CD4">
      <w:pPr>
        <w:pStyle w:val="ConsPlusNormal"/>
        <w:jc w:val="right"/>
      </w:pPr>
      <w:r>
        <w:t>от 5 мая 2015 г. N 35 "Об утверждении</w:t>
      </w:r>
    </w:p>
    <w:p w:rsidR="00854CD4" w:rsidRDefault="00854CD4">
      <w:pPr>
        <w:pStyle w:val="ConsPlusNormal"/>
        <w:jc w:val="right"/>
      </w:pPr>
      <w:r>
        <w:t>критериев, которым должны соответствовать</w:t>
      </w:r>
    </w:p>
    <w:p w:rsidR="00854CD4" w:rsidRDefault="00854CD4">
      <w:pPr>
        <w:pStyle w:val="ConsPlusNormal"/>
        <w:jc w:val="right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</w:t>
      </w:r>
    </w:p>
    <w:p w:rsidR="00854CD4" w:rsidRDefault="00854CD4">
      <w:pPr>
        <w:pStyle w:val="ConsPlusNormal"/>
        <w:jc w:val="right"/>
      </w:pPr>
      <w:proofErr w:type="gramStart"/>
      <w:r>
        <w:t>коммунально-бытового назначения, масштабные</w:t>
      </w:r>
      <w:proofErr w:type="gramEnd"/>
    </w:p>
    <w:p w:rsidR="00854CD4" w:rsidRDefault="00854CD4">
      <w:pPr>
        <w:pStyle w:val="ConsPlusNormal"/>
        <w:jc w:val="right"/>
      </w:pPr>
      <w:r>
        <w:t>инвестиционные проекты, для размещения</w:t>
      </w:r>
    </w:p>
    <w:p w:rsidR="00854CD4" w:rsidRDefault="00854CD4">
      <w:pPr>
        <w:pStyle w:val="ConsPlusNormal"/>
        <w:jc w:val="right"/>
      </w:pPr>
      <w:r>
        <w:t>(реализации) которых допускается</w:t>
      </w:r>
    </w:p>
    <w:p w:rsidR="00854CD4" w:rsidRDefault="00854CD4">
      <w:pPr>
        <w:pStyle w:val="ConsPlusNormal"/>
        <w:jc w:val="right"/>
      </w:pPr>
      <w:r>
        <w:t>предоставление земельного участка,</w:t>
      </w:r>
    </w:p>
    <w:p w:rsidR="00854CD4" w:rsidRDefault="00854CD4">
      <w:pPr>
        <w:pStyle w:val="ConsPlusNormal"/>
        <w:jc w:val="right"/>
      </w:pPr>
      <w:r>
        <w:t>находящегося в государственной или</w:t>
      </w:r>
    </w:p>
    <w:p w:rsidR="00854CD4" w:rsidRDefault="00854CD4">
      <w:pPr>
        <w:pStyle w:val="ConsPlusNormal"/>
        <w:jc w:val="right"/>
      </w:pPr>
      <w:r>
        <w:t>муниципальной собственности, в аренду</w:t>
      </w:r>
    </w:p>
    <w:p w:rsidR="00854CD4" w:rsidRDefault="00854CD4">
      <w:pPr>
        <w:pStyle w:val="ConsPlusNormal"/>
        <w:jc w:val="right"/>
      </w:pPr>
      <w:r>
        <w:t>юридическим лицам без проведения торгов"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Title"/>
        <w:jc w:val="center"/>
      </w:pPr>
      <w:bookmarkStart w:id="0" w:name="P56"/>
      <w:bookmarkEnd w:id="0"/>
      <w:r>
        <w:t>ПОРЯДОК</w:t>
      </w:r>
    </w:p>
    <w:p w:rsidR="00854CD4" w:rsidRDefault="00854CD4">
      <w:pPr>
        <w:pStyle w:val="ConsPlusTitle"/>
        <w:jc w:val="center"/>
      </w:pPr>
      <w:r>
        <w:t>ОПРЕДЕЛЕНИЯ СООТВЕТСТВИЯ ОБЪЕКТОВ СОЦИАЛЬНО-КУЛЬТУРНОГО</w:t>
      </w:r>
    </w:p>
    <w:p w:rsidR="00854CD4" w:rsidRDefault="00854CD4">
      <w:pPr>
        <w:pStyle w:val="ConsPlusTitle"/>
        <w:jc w:val="center"/>
      </w:pPr>
      <w:r>
        <w:t xml:space="preserve">И КОММУНАЛЬНО-БЫТОВОГО НАЗНАЧЕНИЯ, </w:t>
      </w:r>
      <w:proofErr w:type="gramStart"/>
      <w:r>
        <w:t>МАСШТАБНЫХ</w:t>
      </w:r>
      <w:proofErr w:type="gramEnd"/>
      <w:r>
        <w:t xml:space="preserve"> ИНВЕСТИЦИОННЫХ</w:t>
      </w:r>
    </w:p>
    <w:p w:rsidR="00854CD4" w:rsidRDefault="00854CD4">
      <w:pPr>
        <w:pStyle w:val="ConsPlusTitle"/>
        <w:jc w:val="center"/>
      </w:pPr>
      <w:r>
        <w:t>ПРОЕКТОВ КРИТЕРИЯМ, УСТАНОВЛЕННЫМ ЗАКОНОМ КУРГАНСКОЙ ОБЛАСТИ</w:t>
      </w:r>
    </w:p>
    <w:p w:rsidR="00854CD4" w:rsidRDefault="00854CD4">
      <w:pPr>
        <w:pStyle w:val="ConsPlusTitle"/>
        <w:jc w:val="center"/>
      </w:pPr>
      <w:r>
        <w:t>ОТ 5 МАЯ 2015 Г. N 35 "ОБ УТВЕРЖДЕНИИ КРИТЕРИЕВ, КОТОРЫМ</w:t>
      </w:r>
    </w:p>
    <w:p w:rsidR="00854CD4" w:rsidRDefault="00854CD4">
      <w:pPr>
        <w:pStyle w:val="ConsPlusTitle"/>
        <w:jc w:val="center"/>
      </w:pPr>
      <w:r>
        <w:t xml:space="preserve">ДОЛЖНЫ СООТВЕТСТВОВАТЬ ОБЪЕКТЫ </w:t>
      </w:r>
      <w:proofErr w:type="gramStart"/>
      <w:r>
        <w:t>СОЦИАЛЬНО-КУЛЬТУРНОГО</w:t>
      </w:r>
      <w:proofErr w:type="gramEnd"/>
    </w:p>
    <w:p w:rsidR="00854CD4" w:rsidRDefault="00854CD4">
      <w:pPr>
        <w:pStyle w:val="ConsPlusTitle"/>
        <w:jc w:val="center"/>
      </w:pPr>
      <w:proofErr w:type="gramStart"/>
      <w:r>
        <w:t>И КОММУНАЛЬНО-БЫТОВОГО НАЗНАЧЕНИЯ, МАСШТАБНЫЕ ИНВЕСТИЦИОННЫЕ</w:t>
      </w:r>
      <w:proofErr w:type="gramEnd"/>
    </w:p>
    <w:p w:rsidR="00854CD4" w:rsidRDefault="00854CD4">
      <w:pPr>
        <w:pStyle w:val="ConsPlusTitle"/>
        <w:jc w:val="center"/>
      </w:pPr>
      <w:r>
        <w:t>ПРОЕКТЫ, ДЛЯ РАЗМЕЩЕНИЯ (РЕАЛИЗАЦИИ) КОТОРЫХ ДОПУСКАЕТСЯ</w:t>
      </w:r>
    </w:p>
    <w:p w:rsidR="00854CD4" w:rsidRDefault="00854CD4">
      <w:pPr>
        <w:pStyle w:val="ConsPlusTitle"/>
        <w:jc w:val="center"/>
      </w:pPr>
      <w:r>
        <w:t>ПРЕДОСТАВЛЕНИЕ ЗЕМЕЛЬНОГО УЧАСТКА, НАХОДЯЩЕГОСЯ</w:t>
      </w:r>
    </w:p>
    <w:p w:rsidR="00854CD4" w:rsidRDefault="00854CD4">
      <w:pPr>
        <w:pStyle w:val="ConsPlusTitle"/>
        <w:jc w:val="center"/>
      </w:pPr>
      <w:r>
        <w:t>В ГОСУДАРСТВЕННОЙ ИЛИ МУНИЦИПАЛЬНОЙ СОБСТВЕННОСТИ, В АРЕНДУ</w:t>
      </w:r>
    </w:p>
    <w:p w:rsidR="00854CD4" w:rsidRDefault="00854CD4">
      <w:pPr>
        <w:pStyle w:val="ConsPlusTitle"/>
        <w:jc w:val="center"/>
      </w:pPr>
      <w:r>
        <w:lastRenderedPageBreak/>
        <w:t>ЮРИДИЧЕСКИМ ЛИЦАМ БЕЗ ПРОВЕДЕНИЯ ТОРГОВ"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Курганской области от 5 мая 2015 года N 35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 (далее - Порядок</w:t>
      </w:r>
      <w:proofErr w:type="gramEnd"/>
      <w:r>
        <w:t xml:space="preserve">), </w:t>
      </w:r>
      <w:proofErr w:type="gramStart"/>
      <w:r>
        <w:t xml:space="preserve">устанавливает процедуру определения соответствия объекта социально-культурного или коммунально-бытового назначения (далее - объект), масштабного инвестиционного проекта (далее - проект), предполагаемых к размещению (реализации) на территории Курганской области, критериям, установленным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Курганской области от 5 мая 2015 г. N 35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</w:t>
      </w:r>
      <w:proofErr w:type="gramEnd"/>
      <w:r>
        <w:t xml:space="preserve"> государственной или муниципальной собственности, в аренду юридическим лицам без проведения торгов" (далее - Закон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торгов").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</w:t>
      </w:r>
      <w:proofErr w:type="gramStart"/>
      <w:r>
        <w:t xml:space="preserve">В целях проверки соответствия объектов критериям, установленным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торгов", юридическое лицо (далее - заявитель) представляет в Департамент экономического развития Курганской области (далее - Департамент) следующие документы</w:t>
      </w:r>
      <w:proofErr w:type="gramEnd"/>
      <w:r>
        <w:t>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1) </w:t>
      </w:r>
      <w:hyperlink w:anchor="P189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Порядку;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доверенность или иной документ, подтверждающий полномочия уполномоченного лица заявителя на подписание заявления (в случае если заявление подписывается лицом, не имеющим права действовать без доверенности от имени заявителя в соответствии с его учредительными документами);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3) заверенные в установленном действующим законодательством порядке копии учредительных документов заявителя;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2" w:name="P73"/>
      <w:bookmarkEnd w:id="2"/>
      <w:r>
        <w:t>4) выписку из Единого государственного реестра юридических лиц, полученную не ранее чем за 30 дней до дня подачи заявления;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3" w:name="P74"/>
      <w:bookmarkEnd w:id="3"/>
      <w:r>
        <w:t>5) справку об исполнении налогоплательщиком обязанности по уплате налогов, сборов, пеней, штрафов, процентов, выданную не ранее 30 календарных дней до дня подачи заявления;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6) расчет по страховым взносам на последнюю отчетную дату;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7) план создания объекта, который должен содержать: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описание объекта, обоснование целесообразности его размещения на территории Курганской области и конкретного муниципального образования;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предполагаемый общий объем инвестиций и источники финансирования, необходимые для </w:t>
      </w:r>
      <w:r>
        <w:lastRenderedPageBreak/>
        <w:t>создания (строительства) объекта;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финансовое обоснование по созданию (строительству) объекта, содержащее данные о доходах и расходах заявителя при размещении объекта, о предполагаемом сроке размещения объекта;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 xml:space="preserve">обоснование социальных эффектов, связанных с созданием объекта, предполагающего строительство индивидуальных жилых домов, многоквартирных домов, планируемый объем строительства, срок строительства и количество объектов индивидуального жилищного строительства, многоквартирных домов, которые будут переданы в собственность или социальный наем гражданам (в случае необходимости определения соответствия Критерию, указанному в </w:t>
      </w:r>
      <w:hyperlink r:id="rId12" w:history="1">
        <w:r>
          <w:rPr>
            <w:color w:val="0000FF"/>
          </w:rPr>
          <w:t>пункте 2 статьи 1</w:t>
        </w:r>
      </w:hyperlink>
      <w:r>
        <w:t xml:space="preserve"> Закона Курганской области "Об утверждении критериев, которым должны соответствовать объекты социально-культурного и</w:t>
      </w:r>
      <w:proofErr w:type="gramEnd"/>
      <w:r>
        <w:t xml:space="preserve"> </w:t>
      </w:r>
      <w:proofErr w:type="gramStart"/>
      <w:r>
        <w:t>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торгов").</w:t>
      </w:r>
      <w:proofErr w:type="gramEnd"/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73" w:history="1">
        <w:r>
          <w:rPr>
            <w:color w:val="0000FF"/>
          </w:rPr>
          <w:t>подпунктах 4</w:t>
        </w:r>
      </w:hyperlink>
      <w:r>
        <w:t xml:space="preserve"> и </w:t>
      </w:r>
      <w:hyperlink w:anchor="P74" w:history="1">
        <w:r>
          <w:rPr>
            <w:color w:val="0000FF"/>
          </w:rPr>
          <w:t>5 пункта 2</w:t>
        </w:r>
      </w:hyperlink>
      <w:r>
        <w:t xml:space="preserve"> Порядка, заявитель вправе представить по собственной инициативе. В случае если заявителем не были представлены самостоятельно документы, предусмотренные </w:t>
      </w:r>
      <w:hyperlink w:anchor="P73" w:history="1">
        <w:r>
          <w:rPr>
            <w:color w:val="0000FF"/>
          </w:rPr>
          <w:t>подпунктами 4</w:t>
        </w:r>
      </w:hyperlink>
      <w:r>
        <w:t xml:space="preserve"> и </w:t>
      </w:r>
      <w:hyperlink w:anchor="P74" w:history="1">
        <w:r>
          <w:rPr>
            <w:color w:val="0000FF"/>
          </w:rPr>
          <w:t>5 пункта 2</w:t>
        </w:r>
      </w:hyperlink>
      <w:r>
        <w:t xml:space="preserve"> Порядка, указанные документы запрашиваются Департаментом в соответствующих органах посредством межведомственного информационного взаимодействия.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4. </w:t>
      </w:r>
      <w:proofErr w:type="gramStart"/>
      <w:r>
        <w:t xml:space="preserve">В целях проверки соответствия проектов, за исключением проектов, предусматривающих строительство многоквартирных домов (многоквартирного дома), критериям, установленным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торгов", заявитель представляет в Фонд "Инвестиционное агентство</w:t>
      </w:r>
      <w:proofErr w:type="gramEnd"/>
      <w:r>
        <w:t xml:space="preserve"> Курганской области" (далее - Фонд) следующие документы: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1) заявление по форме, утвержденной приказом Департамента;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резюме проекта по форме, утвержденной приказом Департамента;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3) согласие на обработку персональных данных руководителя, учредителей заявителя по форме, утвержденной приказом Департамента;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4) бизнес-план реализации проекта, который должен содержать: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описание проекта, обоснование целесообразности его реализации на территории Курганской области и конкретного муниципального образования;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производственный план проекта, включающий обоснование инвестиционных затрат по проекту;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маркетинговый план проекта, подтверждающий объемы и цены на реализуемые товары (услуги);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организационный план проекта, включающий график реализации проекта и источники финансирования проекта;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финансовый план проекта, включающий расчеты показателей финансовой, бюджетной (для консолидированного бюджета Курганской области) и экономической эффективности реализации проекта;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lastRenderedPageBreak/>
        <w:t>обоснование положительных социальных эффектов, связанных с реализацией проекта, в том числе сведения о планируемом к созданию количестве рабочих мест;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финансовое обеспечение проекта (копия бухгалтерской (финансовой) отчетности за последний отчетный год, копия промежуточной бухгалтерской (финансовой) отчетности, заверенная подписью руководителя, главного бухгалтера и печатью заявителя (при наличии), на дату подачи заявления, и (или) копия договора займа, и (или) копия кредитного договора, и (или) гарантийное письмо кредитной организации о выдаче кредита, и (или) гарантийное письмо организации, предоставляющей финансовые средства для</w:t>
      </w:r>
      <w:proofErr w:type="gramEnd"/>
      <w:r>
        <w:t xml:space="preserve"> реализации проекта (с подтверждением наличия этих средств у организации), и (или) выписка по банковскому счету, заверенная российской кредитной организацией, и (или) копия договора лизинга).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5. </w:t>
      </w:r>
      <w:proofErr w:type="gramStart"/>
      <w:r>
        <w:t xml:space="preserve">В целях проверки соответствия проектов, предусматривающих строительство многоквартирных домов (многоквартирного дома), критериям, установленным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торгов", заявитель представляет в Фонд следующие документы:</w:t>
      </w:r>
      <w:proofErr w:type="gramEnd"/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1) </w:t>
      </w:r>
      <w:hyperlink w:anchor="P189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Порядку;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доверенность или иной документ, подтверждающий полномочия уполномоченного лица заявителя на подписание заявления (в случае если заявление подписывается лицом, не имеющим права действовать без доверенности от имени заявителя в соответствии с его учредительными документами);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3) заверенные в установленном действующим законодательством порядке копии учредительных документов заявителя;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6" w:name="P98"/>
      <w:bookmarkEnd w:id="6"/>
      <w:r>
        <w:t>4) выписку из Единого государственного реестра юридических лиц, полученную не ранее чем за 30 дней до дня подачи заявления;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7" w:name="P99"/>
      <w:bookmarkEnd w:id="7"/>
      <w:r>
        <w:t>5) справку об исполнении налогоплательщиком обязанности по уплате налогов, сборов, пеней, штрафов, процентов, выданную не ранее 30 календарных дней до дня подачи заявления;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6) расчет по страховым взносам на последнюю отчетную дату;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7) бизнес-план реализации проекта, который должен содержать: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описание проекта, обоснование целесообразности его реализации на территории Курганской области и конкретного муниципального образования;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производственный план проекта, включающий обоснование инвестиционных затрат по проекту;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маркетинговый план проекта, подтверждающий объемы и цены на планируемые к реализации жилые помещения в многоквартирных домах (многоквартирном доме);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организационный план проекта, включающий график реализации проекта и источники финансирования проекта;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информацию о сроках ввода жилья в эксплуатацию;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 xml:space="preserve">обоснование положительных социальных эффектов, связанных с реализацией проекта, в том числе сведения о благоустроенных жилых помещениях в многоквартирных домах </w:t>
      </w:r>
      <w:r>
        <w:lastRenderedPageBreak/>
        <w:t>(многоквартирном доме), планируемых к передаче в государственную собственность Курганской области или муниципальную собственность муниципального образования Курганской области, в границах которого планируется реализация проекта, либо предназначенных для целей обеспечения детей-сирот, детей, оставшихся без попечения родителей, лиц из числа детей-сирот и детей, оставшихся</w:t>
      </w:r>
      <w:proofErr w:type="gramEnd"/>
      <w:r>
        <w:t xml:space="preserve"> без попечения родителей, переселения граждан из аварийного жилищного фонда в рамках реализации государственной программы Курганской области (региональной адресной программы);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финансовое обеспечение проекта (копия бухгалтерской (финансовой) отчетности за последний отчетный год, копия промежуточной бухгалтерской (финансовой) отчетности, заверенная подписью руководителя, главного бухгалтера и печатью заявителя (при наличии), на дату подачи заявления, и (или) выписка по банковскому счету, заверенная российской кредитной организацией, и (или) гарантийное письмо кредитной организации, подтверждающее готовность выдать кредит на реализацию проекта с перечнем отлагательных условий для</w:t>
      </w:r>
      <w:proofErr w:type="gramEnd"/>
      <w:r>
        <w:t xml:space="preserve"> выдачи);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8) эскизный проект, который должен содержать: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пояснительную записку с обоснованием архитектурно-градостроительных, инженерно-технических, конструктивных, экономических, технологических и других проектных решений, с основными эксплуатационными и объемно-планировочными показателями (строительный объем, расчетная и общая площадь, общая жилая площадь квартир);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ситуационный план;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схему генерального плана застройки;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схему организации движения;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схему благоустройства и озеленения;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планы фасадов;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планы этажей;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перспективу или аксонометрию в произвольном масштабе.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6. Документы, указанные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 и </w:t>
      </w:r>
      <w:hyperlink w:anchor="P99" w:history="1">
        <w:r>
          <w:rPr>
            <w:color w:val="0000FF"/>
          </w:rPr>
          <w:t>5 пункта 5</w:t>
        </w:r>
      </w:hyperlink>
      <w:r>
        <w:t xml:space="preserve"> Порядка, заявитель вправе представить по собственной инициативе. В случае если заявителем не были представлены самостоятельно документы, предусмотренные </w:t>
      </w:r>
      <w:hyperlink w:anchor="P98" w:history="1">
        <w:r>
          <w:rPr>
            <w:color w:val="0000FF"/>
          </w:rPr>
          <w:t>подпунктами 4</w:t>
        </w:r>
      </w:hyperlink>
      <w:r>
        <w:t xml:space="preserve"> и </w:t>
      </w:r>
      <w:hyperlink w:anchor="P99" w:history="1">
        <w:r>
          <w:rPr>
            <w:color w:val="0000FF"/>
          </w:rPr>
          <w:t>5 пункта 5</w:t>
        </w:r>
      </w:hyperlink>
      <w:r>
        <w:t xml:space="preserve"> Порядка, указанные документы запрашиваются Департаментом в соответствующих органах посредством межведомственного информационного взаимодействия. Полученные документы в течение одного рабочего дня со дня получения направляются Департаментом в Фонд.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7. При поступлении документов, указанных в </w:t>
      </w:r>
      <w:hyperlink w:anchor="P69" w:history="1">
        <w:r>
          <w:rPr>
            <w:color w:val="0000FF"/>
          </w:rPr>
          <w:t>пункте 2</w:t>
        </w:r>
      </w:hyperlink>
      <w:r>
        <w:t xml:space="preserve"> Порядка, Департамент: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1) регистрирует поступившие документы в течение одного рабочего дня с даты их поступления в Департамент;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2) в течение трех рабочих дней </w:t>
      </w:r>
      <w:proofErr w:type="gramStart"/>
      <w:r>
        <w:t>с даты регистрации</w:t>
      </w:r>
      <w:proofErr w:type="gramEnd"/>
      <w:r>
        <w:t xml:space="preserve"> документов: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осуществляет проверку наличия документов в соответствии с </w:t>
      </w:r>
      <w:hyperlink w:anchor="P69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запрашивает и получает в рамках межведомственного информационного взаимодействия документы, указанные в </w:t>
      </w:r>
      <w:hyperlink w:anchor="P73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74" w:history="1">
        <w:r>
          <w:rPr>
            <w:color w:val="0000FF"/>
          </w:rPr>
          <w:t>5 пункта 2</w:t>
        </w:r>
      </w:hyperlink>
      <w:r>
        <w:t xml:space="preserve"> Порядка (в случае непредставления их заявителем);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lastRenderedPageBreak/>
        <w:t>проверяет наличие (отсутствие) сведений о заявителе в Едином федеральном реестре сведений о банкротстве.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8. Представленные заявителем документы в течение двух рабочих дней после завершения проверки, предусмотренной </w:t>
      </w:r>
      <w:hyperlink w:anchor="P121" w:history="1">
        <w:r>
          <w:rPr>
            <w:color w:val="0000FF"/>
          </w:rPr>
          <w:t>подпунктом 2 пункта 7</w:t>
        </w:r>
      </w:hyperlink>
      <w:r>
        <w:t xml:space="preserve"> Порядка, подлежат возврату с направлением Департаментом уведомления об отказе в приеме документов с указанием причин возврата в случае, если в ходе проверки выявлено, что данный заявитель: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1) представил документы, предусмотренные </w:t>
      </w:r>
      <w:hyperlink w:anchor="P69" w:history="1">
        <w:r>
          <w:rPr>
            <w:color w:val="0000FF"/>
          </w:rPr>
          <w:t>пунктом 2</w:t>
        </w:r>
      </w:hyperlink>
      <w:r>
        <w:t xml:space="preserve"> Порядка, не в полном объеме (за исключением документов, указанных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 и </w:t>
      </w:r>
      <w:hyperlink w:anchor="P99" w:history="1">
        <w:r>
          <w:rPr>
            <w:color w:val="0000FF"/>
          </w:rPr>
          <w:t>5 пункта 2</w:t>
        </w:r>
      </w:hyperlink>
      <w:r>
        <w:t xml:space="preserve"> Порядка);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находится в стадии реорганизации, ликвидации, банкротства.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9. Отказ в приеме документов не лишает заявителя права повторно обратиться с заявлением в Департамент в случае устранения обстоятельств, послуживших причиной отказа в приеме документов.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 xml:space="preserve">10. При отсутствии обстоятельств, указанных в </w:t>
      </w:r>
      <w:hyperlink w:anchor="P125" w:history="1">
        <w:r>
          <w:rPr>
            <w:color w:val="0000FF"/>
          </w:rPr>
          <w:t>пункте 8</w:t>
        </w:r>
      </w:hyperlink>
      <w:r>
        <w:t xml:space="preserve"> Порядка, Департамент в течение трех рабочих дней после завершения проверки, предусмотренной </w:t>
      </w:r>
      <w:hyperlink w:anchor="P121" w:history="1">
        <w:r>
          <w:rPr>
            <w:color w:val="0000FF"/>
          </w:rPr>
          <w:t>подпунктом 2 пункта 7</w:t>
        </w:r>
      </w:hyperlink>
      <w:r>
        <w:t xml:space="preserve"> Порядка, направляет запросы с приложением документов, представленных заявителем: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1" w:name="P130"/>
      <w:bookmarkEnd w:id="11"/>
      <w:proofErr w:type="gramStart"/>
      <w:r>
        <w:t xml:space="preserve">1) в органы исполнительной власти Курганской области, на которые возложены координация и регулирование деятельности в соответствующей отрасли (сфере управления), в которой планируется создание объекта, для подготовки заключения о соответствии объекта целям и задачам, определенным в государственных программах Курганской области (в случае необходимости определения соответствия критерию, указанному в </w:t>
      </w:r>
      <w:hyperlink r:id="rId15" w:history="1">
        <w:r>
          <w:rPr>
            <w:color w:val="0000FF"/>
          </w:rPr>
          <w:t>пункте 1 статьи 1</w:t>
        </w:r>
      </w:hyperlink>
      <w:r>
        <w:t xml:space="preserve"> Закона Курганской области "Об утверждении критериев, которым должны соответствовать</w:t>
      </w:r>
      <w:proofErr w:type="gramEnd"/>
      <w:r>
        <w:t xml:space="preserve">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в органы местного самоуправления муниципального района, муниципального или городского округа Курганской области, на территории которых предполагается размещение объекта, для подготовки информации: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о возможности предоставления в аренду на указанной заявителем территории земельного участка с учетом документов территориального планирования, градостроительного зонирования, документации по планировке территории муниципального образования и ограничений, предусмотренных </w:t>
      </w:r>
      <w:hyperlink r:id="rId16" w:history="1">
        <w:r>
          <w:rPr>
            <w:color w:val="0000FF"/>
          </w:rPr>
          <w:t>статьей 39-16</w:t>
        </w:r>
      </w:hyperlink>
      <w:r>
        <w:t xml:space="preserve"> Земельного кодекса Российской Федерации;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 xml:space="preserve">о соответствии объекта целям и задачам, определенным в муниципальных программах (в случае необходимости определения соответствия критерию, указанному в </w:t>
      </w:r>
      <w:hyperlink r:id="rId17" w:history="1">
        <w:r>
          <w:rPr>
            <w:color w:val="0000FF"/>
          </w:rPr>
          <w:t>пункте 1 статьи 1</w:t>
        </w:r>
      </w:hyperlink>
      <w:r>
        <w:t xml:space="preserve"> Закона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торгов").</w:t>
      </w:r>
      <w:proofErr w:type="gramEnd"/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11. Рассмотрение документов заявителя и подготовка заключений органами, указанными в </w:t>
      </w:r>
      <w:hyperlink w:anchor="P130" w:history="1">
        <w:r>
          <w:rPr>
            <w:color w:val="0000FF"/>
          </w:rPr>
          <w:t>подпункте 1 пункта 10</w:t>
        </w:r>
      </w:hyperlink>
      <w:r>
        <w:t xml:space="preserve"> Порядка, осуществляются в течение четырех рабочих дней со дня их поступления.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Департамент в течение трех рабочих дней со дня поступления заключений и информации, указанных в </w:t>
      </w:r>
      <w:hyperlink w:anchor="P129" w:history="1">
        <w:r>
          <w:rPr>
            <w:color w:val="0000FF"/>
          </w:rPr>
          <w:t>пункте 10</w:t>
        </w:r>
      </w:hyperlink>
      <w:r>
        <w:t xml:space="preserve"> Порядка, формирует сводное заключение о соответствии (несоответствии) объекта критериям, установленным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Курганской области "Об </w:t>
      </w:r>
      <w:r>
        <w:lastRenderedPageBreak/>
        <w:t>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</w:t>
      </w:r>
      <w:proofErr w:type="gramEnd"/>
      <w:r>
        <w:t xml:space="preserve"> лицам без проведения торгов" (далее - сводное заключение), и направляет его вместе с документами заявителя в Межведомственную комиссию по предоставлению государственной поддержки инвестиционной деятельности в Курганской области (далее - Комиссия) для оценки соответствия объекта установленным критериям.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13. Комиссия рассматривает сводное заключение и документы заявителя в срок, не превышающий 14 рабочих дней </w:t>
      </w:r>
      <w:proofErr w:type="gramStart"/>
      <w:r>
        <w:t>с даты регистрации</w:t>
      </w:r>
      <w:proofErr w:type="gramEnd"/>
      <w:r>
        <w:t xml:space="preserve"> Департаментом заявления заявителя, и принимает одно из следующих решений: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1) о соответствии объекта установленным критериям;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о несоответствии объекта установленным критериям.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14. После принятия Комиссией решения о соответствии (несоответствии) объекта установленным критериям Департамент в течение трех рабочих дней со дня принятия Комиссией решения направляет заявителю уведомление о его принятии.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принятия Комиссией решения о соответствии объекта критериям, установленным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торгов", Департамент в течение трех рабочих дней со дня принятия Комиссией решения направляет</w:t>
      </w:r>
      <w:proofErr w:type="gramEnd"/>
      <w:r>
        <w:t xml:space="preserve"> в Департамент имущественных и земельных отношений Курганской области копию протокола заседания Комиссии </w:t>
      </w:r>
      <w:proofErr w:type="gramStart"/>
      <w:r>
        <w:t>для подготовки распоряжения Губернатора Курганской области о предоставлении земельного участка в аренду без проведения торгов для размещения</w:t>
      </w:r>
      <w:proofErr w:type="gramEnd"/>
      <w:r>
        <w:t xml:space="preserve"> объекта.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16. При поступлении документов, указанных в </w:t>
      </w:r>
      <w:hyperlink w:anchor="P82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94" w:history="1">
        <w:r>
          <w:rPr>
            <w:color w:val="0000FF"/>
          </w:rPr>
          <w:t>5</w:t>
        </w:r>
      </w:hyperlink>
      <w:r>
        <w:t xml:space="preserve"> Порядка, Фонд: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1) регистрирует поступившие документы в течение одного рабочего дня с даты их поступления в Фонд;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2) в течение трех рабочих дней </w:t>
      </w:r>
      <w:proofErr w:type="gramStart"/>
      <w:r>
        <w:t>с даты регистрации</w:t>
      </w:r>
      <w:proofErr w:type="gramEnd"/>
      <w:r>
        <w:t xml:space="preserve"> документов: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осуществляет проверку наличия документов, указанных в </w:t>
      </w:r>
      <w:hyperlink w:anchor="P82" w:history="1">
        <w:r>
          <w:rPr>
            <w:color w:val="0000FF"/>
          </w:rPr>
          <w:t>пунктах 4</w:t>
        </w:r>
      </w:hyperlink>
      <w:r>
        <w:t xml:space="preserve"> или </w:t>
      </w:r>
      <w:hyperlink w:anchor="P94" w:history="1">
        <w:r>
          <w:rPr>
            <w:color w:val="0000FF"/>
          </w:rPr>
          <w:t>5</w:t>
        </w:r>
      </w:hyperlink>
      <w:r>
        <w:t xml:space="preserve"> Порядка;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запрашивает и получает от Департамента документы, указанные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99" w:history="1">
        <w:r>
          <w:rPr>
            <w:color w:val="0000FF"/>
          </w:rPr>
          <w:t>5 пункта 5</w:t>
        </w:r>
      </w:hyperlink>
      <w:r>
        <w:t xml:space="preserve"> Порядка (в случае непредставления их заявителем);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проверяет наличие (отсутствие) сведений о заявителе в Едином федеральном реестре сведений о банкротстве.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3" w:name="P147"/>
      <w:bookmarkEnd w:id="13"/>
      <w:r>
        <w:t xml:space="preserve">17. Представленные заявителем документы в течение двух рабочих дней после завершения проверки, предусмотренной </w:t>
      </w:r>
      <w:hyperlink w:anchor="P143" w:history="1">
        <w:r>
          <w:rPr>
            <w:color w:val="0000FF"/>
          </w:rPr>
          <w:t>подпунктом 2 пункта 16</w:t>
        </w:r>
      </w:hyperlink>
      <w:r>
        <w:t xml:space="preserve"> Порядка, подлежат возврату с направлением Фондом уведомления об отказе в приеме документов с указанием причин возврата в случае, если в ходе проверки выявлено, что данный заявитель: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1) представил документы, предусмотренные </w:t>
      </w:r>
      <w:hyperlink w:anchor="P82" w:history="1">
        <w:r>
          <w:rPr>
            <w:color w:val="0000FF"/>
          </w:rPr>
          <w:t>пунктами 4</w:t>
        </w:r>
      </w:hyperlink>
      <w:r>
        <w:t xml:space="preserve"> или </w:t>
      </w:r>
      <w:hyperlink w:anchor="P94" w:history="1">
        <w:r>
          <w:rPr>
            <w:color w:val="0000FF"/>
          </w:rPr>
          <w:t>5</w:t>
        </w:r>
      </w:hyperlink>
      <w:r>
        <w:t xml:space="preserve"> Порядка, не в полном объеме (за исключением документов, указанных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99" w:history="1">
        <w:r>
          <w:rPr>
            <w:color w:val="0000FF"/>
          </w:rPr>
          <w:t>5 пункта 5</w:t>
        </w:r>
      </w:hyperlink>
      <w:r>
        <w:t xml:space="preserve"> Порядка);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находится в стадии реорганизации, ликвидации, банкротства.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lastRenderedPageBreak/>
        <w:t>18. Отказ в приеме документов не лишает заявителя права повторно обратиться с заявлением в Фонд в случае устранения обстоятельств, послуживших причиной отказа в приеме документов.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 xml:space="preserve">19. При отсутствии обстоятельств, указанных в </w:t>
      </w:r>
      <w:hyperlink w:anchor="P147" w:history="1">
        <w:r>
          <w:rPr>
            <w:color w:val="0000FF"/>
          </w:rPr>
          <w:t>пункте 17</w:t>
        </w:r>
      </w:hyperlink>
      <w:r>
        <w:t xml:space="preserve"> Порядка, Фонд в течение двух рабочих дней после завершения проверки, предусмотренной </w:t>
      </w:r>
      <w:hyperlink w:anchor="P143" w:history="1">
        <w:r>
          <w:rPr>
            <w:color w:val="0000FF"/>
          </w:rPr>
          <w:t>подпунктом 2 пункта 16</w:t>
        </w:r>
      </w:hyperlink>
      <w:r>
        <w:t xml:space="preserve"> Порядка, направляет запросы с приложением документов, представленных заявителем: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5" w:name="P152"/>
      <w:bookmarkEnd w:id="15"/>
      <w:proofErr w:type="gramStart"/>
      <w:r>
        <w:t xml:space="preserve">1) в органы исполнительной власти Курганской области, на которые возложены координация и регулирование деятельности в соответствующей отрасли (сфере управления), в которой планируется реализация проекта, для подготовки заключения об экономической целесообразности реализации проекта (в случае необходимости определения соответствия критериям, указанным в </w:t>
      </w:r>
      <w:hyperlink r:id="rId20" w:history="1">
        <w:r>
          <w:rPr>
            <w:color w:val="0000FF"/>
          </w:rPr>
          <w:t>статье 2</w:t>
        </w:r>
      </w:hyperlink>
      <w:r>
        <w:t xml:space="preserve"> Закона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</w:t>
      </w:r>
      <w:proofErr w:type="gramEnd"/>
      <w:r>
        <w:t xml:space="preserve">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торгов");</w:t>
      </w:r>
    </w:p>
    <w:p w:rsidR="00854CD4" w:rsidRDefault="00854CD4">
      <w:pPr>
        <w:pStyle w:val="ConsPlusNormal"/>
        <w:spacing w:before="220"/>
        <w:ind w:firstLine="540"/>
        <w:jc w:val="both"/>
      </w:pPr>
      <w:proofErr w:type="gramStart"/>
      <w:r>
        <w:t xml:space="preserve">2) в органы местного самоуправления муниципального района, муниципального или городского округа Курганской области, на территории которого предполагается реализация проекта, для подготовки информации о возможности предоставления в аренду на указанной заявителем территории земельного участка с учетом документов территориального планирования, градостроительного зонирования, документации по планировке территории муниципального образования и ограничений, предусмотренных </w:t>
      </w:r>
      <w:hyperlink r:id="rId21" w:history="1">
        <w:r>
          <w:rPr>
            <w:color w:val="0000FF"/>
          </w:rPr>
          <w:t>статьей 39-16</w:t>
        </w:r>
      </w:hyperlink>
      <w:r>
        <w:t xml:space="preserve"> Земельного кодекса Российской Федерации.</w:t>
      </w:r>
      <w:proofErr w:type="gramEnd"/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20. Рассмотрение документов заявителя и подготовка заключений органами, указанными в </w:t>
      </w:r>
      <w:hyperlink w:anchor="P152" w:history="1">
        <w:r>
          <w:rPr>
            <w:color w:val="0000FF"/>
          </w:rPr>
          <w:t>подпункте 1 пункта 19</w:t>
        </w:r>
      </w:hyperlink>
      <w:r>
        <w:t xml:space="preserve"> Порядка, осуществляются в течение семи рабочих дней со дня их поступления.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Фонд в течение одного рабочего дня со дня поступления заключений и информации, указанных в </w:t>
      </w:r>
      <w:hyperlink w:anchor="P151" w:history="1">
        <w:r>
          <w:rPr>
            <w:color w:val="0000FF"/>
          </w:rPr>
          <w:t>пункте 19</w:t>
        </w:r>
      </w:hyperlink>
      <w:r>
        <w:t xml:space="preserve"> Порядка, формирует сводное заключение о соответствии (несоответствии) проекта критериям, установленным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</w:t>
      </w:r>
      <w:proofErr w:type="gramEnd"/>
      <w:r>
        <w:t xml:space="preserve"> лицам без проведения торгов", и направляет его вместе с документами заявителя в Экспертный совет Фонда "Инвестиционное агентство Курганской области" (далее - Экспертный совет) для оценки соответствия проекта установленным критериям.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Положение и состав Экспертного совета утверждаются приказом Департамента.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22. Экспертный совет в срок, не превышающий 14 рабочих дней </w:t>
      </w:r>
      <w:proofErr w:type="gramStart"/>
      <w:r>
        <w:t>с даты регистрации</w:t>
      </w:r>
      <w:proofErr w:type="gramEnd"/>
      <w:r>
        <w:t xml:space="preserve"> Фондом заявления заявителя, рассматривает предоставленные Фондом документы и принимает одно из следующих решений: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1) о соответствии проекта установленным критериям;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2) о несоответствии проекта установленным критериям.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>23. После принятия Экспертным советом решения о соответствии (несоответствии) проекта установленным критериям Фонд в течение пяти рабочих дней со дня принятия Экспертным советом решения направляет заявителю уведомление о его принятии.</w:t>
      </w:r>
    </w:p>
    <w:p w:rsidR="00854CD4" w:rsidRDefault="00854CD4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случае принятия Экспертным советом решения о соответствии проекта критериям, </w:t>
      </w:r>
      <w:r>
        <w:lastRenderedPageBreak/>
        <w:t xml:space="preserve">установленным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Курганской области "Об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торгов", Фонд в течение трех рабочих дней со дня принятия Экспертным советом</w:t>
      </w:r>
      <w:proofErr w:type="gramEnd"/>
      <w:r>
        <w:t xml:space="preserve"> решения направляет в Департамент имущественных и земельных отношений Курганской области копию протокола заседания Экспертного совета </w:t>
      </w:r>
      <w:proofErr w:type="gramStart"/>
      <w:r>
        <w:t>для подготовки распоряжения Губернатора Курганской области о предоставлении земельного участка в аренду без проведения торгов для реализации</w:t>
      </w:r>
      <w:proofErr w:type="gramEnd"/>
      <w:r>
        <w:t xml:space="preserve"> проекта.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right"/>
        <w:outlineLvl w:val="1"/>
      </w:pPr>
      <w:r>
        <w:t>Приложение</w:t>
      </w:r>
    </w:p>
    <w:p w:rsidR="00854CD4" w:rsidRDefault="00854CD4">
      <w:pPr>
        <w:pStyle w:val="ConsPlusNormal"/>
        <w:jc w:val="right"/>
      </w:pPr>
      <w:r>
        <w:t>к Порядку</w:t>
      </w:r>
    </w:p>
    <w:p w:rsidR="00854CD4" w:rsidRDefault="00854CD4">
      <w:pPr>
        <w:pStyle w:val="ConsPlusNormal"/>
        <w:jc w:val="right"/>
      </w:pPr>
      <w:r>
        <w:t>определения соответствия объектов</w:t>
      </w:r>
    </w:p>
    <w:p w:rsidR="00854CD4" w:rsidRDefault="00854CD4">
      <w:pPr>
        <w:pStyle w:val="ConsPlusNormal"/>
        <w:jc w:val="right"/>
      </w:pPr>
      <w:r>
        <w:t>социально-культурного и коммунально-бытового</w:t>
      </w:r>
    </w:p>
    <w:p w:rsidR="00854CD4" w:rsidRDefault="00854CD4">
      <w:pPr>
        <w:pStyle w:val="ConsPlusNormal"/>
        <w:jc w:val="right"/>
      </w:pPr>
      <w:r>
        <w:t xml:space="preserve">назначения, </w:t>
      </w:r>
      <w:proofErr w:type="gramStart"/>
      <w:r>
        <w:t>масштабных</w:t>
      </w:r>
      <w:proofErr w:type="gramEnd"/>
      <w:r>
        <w:t xml:space="preserve"> инвестиционных</w:t>
      </w:r>
    </w:p>
    <w:p w:rsidR="00854CD4" w:rsidRDefault="00854CD4">
      <w:pPr>
        <w:pStyle w:val="ConsPlusNormal"/>
        <w:jc w:val="right"/>
      </w:pPr>
      <w:r>
        <w:t>проектов критериям, установленным Законом</w:t>
      </w:r>
    </w:p>
    <w:p w:rsidR="00854CD4" w:rsidRDefault="00854CD4">
      <w:pPr>
        <w:pStyle w:val="ConsPlusNormal"/>
        <w:jc w:val="right"/>
      </w:pPr>
      <w:r>
        <w:t>Курганской области от 5 мая 2015 г. N 35</w:t>
      </w:r>
    </w:p>
    <w:p w:rsidR="00854CD4" w:rsidRDefault="00854CD4">
      <w:pPr>
        <w:pStyle w:val="ConsPlusNormal"/>
        <w:jc w:val="right"/>
      </w:pPr>
      <w:r>
        <w:t>"Об утверждении критериев, которым</w:t>
      </w:r>
    </w:p>
    <w:p w:rsidR="00854CD4" w:rsidRDefault="00854CD4">
      <w:pPr>
        <w:pStyle w:val="ConsPlusNormal"/>
        <w:jc w:val="right"/>
      </w:pPr>
      <w:r>
        <w:t>должны соответствовать объекты</w:t>
      </w:r>
    </w:p>
    <w:p w:rsidR="00854CD4" w:rsidRDefault="00854CD4">
      <w:pPr>
        <w:pStyle w:val="ConsPlusNormal"/>
        <w:jc w:val="right"/>
      </w:pPr>
      <w:r>
        <w:t>социально-культурного и коммунально-бытового</w:t>
      </w:r>
    </w:p>
    <w:p w:rsidR="00854CD4" w:rsidRDefault="00854CD4">
      <w:pPr>
        <w:pStyle w:val="ConsPlusNormal"/>
        <w:jc w:val="right"/>
      </w:pPr>
      <w:r>
        <w:t>назначения, масштабные инвестиционные</w:t>
      </w:r>
    </w:p>
    <w:p w:rsidR="00854CD4" w:rsidRDefault="00854CD4">
      <w:pPr>
        <w:pStyle w:val="ConsPlusNormal"/>
        <w:jc w:val="right"/>
      </w:pPr>
      <w:r>
        <w:t>проекты, для размещения (реализации) которых</w:t>
      </w:r>
    </w:p>
    <w:p w:rsidR="00854CD4" w:rsidRDefault="00854CD4">
      <w:pPr>
        <w:pStyle w:val="ConsPlusNormal"/>
        <w:jc w:val="right"/>
      </w:pPr>
      <w:r>
        <w:t xml:space="preserve">допускается предоставление </w:t>
      </w:r>
      <w:proofErr w:type="gramStart"/>
      <w:r>
        <w:t>земельного</w:t>
      </w:r>
      <w:proofErr w:type="gramEnd"/>
    </w:p>
    <w:p w:rsidR="00854CD4" w:rsidRDefault="00854CD4">
      <w:pPr>
        <w:pStyle w:val="ConsPlusNormal"/>
        <w:jc w:val="right"/>
      </w:pPr>
      <w:r>
        <w:t xml:space="preserve">участка, находящегося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854CD4" w:rsidRDefault="00854CD4">
      <w:pPr>
        <w:pStyle w:val="ConsPlusNormal"/>
        <w:jc w:val="right"/>
      </w:pPr>
      <w:r>
        <w:t>муниципальной собственности, в аренду</w:t>
      </w:r>
    </w:p>
    <w:p w:rsidR="00854CD4" w:rsidRDefault="00854CD4">
      <w:pPr>
        <w:pStyle w:val="ConsPlusNormal"/>
        <w:jc w:val="right"/>
      </w:pPr>
      <w:r>
        <w:t>юридическим лицам без проведения торгов"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nformat"/>
        <w:jc w:val="both"/>
      </w:pPr>
      <w:r>
        <w:t xml:space="preserve">                                       Департамент экономического развития</w:t>
      </w:r>
    </w:p>
    <w:p w:rsidR="00854CD4" w:rsidRDefault="00854CD4">
      <w:pPr>
        <w:pStyle w:val="ConsPlusNonformat"/>
        <w:jc w:val="both"/>
      </w:pPr>
      <w:r>
        <w:t xml:space="preserve">                                                       Курганской области/</w:t>
      </w:r>
    </w:p>
    <w:p w:rsidR="00854CD4" w:rsidRDefault="00854CD4">
      <w:pPr>
        <w:pStyle w:val="ConsPlusNonformat"/>
        <w:jc w:val="both"/>
      </w:pPr>
      <w:r>
        <w:t xml:space="preserve">                                            Фонд "Инвестиционное агентство</w:t>
      </w:r>
    </w:p>
    <w:p w:rsidR="00854CD4" w:rsidRDefault="00854CD4">
      <w:pPr>
        <w:pStyle w:val="ConsPlusNonformat"/>
        <w:jc w:val="both"/>
      </w:pPr>
      <w:r>
        <w:t xml:space="preserve">                                                       Курганской области"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bookmarkStart w:id="16" w:name="P189"/>
      <w:bookmarkEnd w:id="16"/>
      <w:r>
        <w:t xml:space="preserve">                                Заявление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>от ______________________________________________________________________,</w:t>
      </w:r>
    </w:p>
    <w:p w:rsidR="00854CD4" w:rsidRDefault="00854CD4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_________________________________________________________________________,</w:t>
      </w:r>
    </w:p>
    <w:p w:rsidR="00854CD4" w:rsidRDefault="00854CD4">
      <w:pPr>
        <w:pStyle w:val="ConsPlusNonformat"/>
        <w:jc w:val="both"/>
      </w:pPr>
      <w:r>
        <w:t xml:space="preserve">(Ф.И.О., должность руководителя юридического лица, его представителя </w:t>
      </w:r>
      <w:hyperlink w:anchor="P243" w:history="1">
        <w:r>
          <w:rPr>
            <w:color w:val="0000FF"/>
          </w:rPr>
          <w:t>&lt;*&gt;</w:t>
        </w:r>
      </w:hyperlink>
      <w:r>
        <w:t>)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_________________________________________________________________________,</w:t>
      </w:r>
    </w:p>
    <w:p w:rsidR="00854CD4" w:rsidRDefault="00854CD4">
      <w:pPr>
        <w:pStyle w:val="ConsPlusNonformat"/>
        <w:jc w:val="both"/>
      </w:pPr>
      <w:r>
        <w:t>(адрес места регистрации и места нахождения (индекс, город, район))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_________________________________________________________________________,</w:t>
      </w:r>
    </w:p>
    <w:p w:rsidR="00854CD4" w:rsidRDefault="00854CD4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>ОГРН ___________________, ИНН ________________, КПП ___________________.</w:t>
      </w:r>
    </w:p>
    <w:p w:rsidR="00854CD4" w:rsidRDefault="00854CD4">
      <w:pPr>
        <w:pStyle w:val="ConsPlusNonformat"/>
        <w:jc w:val="both"/>
      </w:pPr>
      <w:r>
        <w:t xml:space="preserve">    Прошу   проверить   объект  социально-культурного  назначения,  объект</w:t>
      </w:r>
    </w:p>
    <w:p w:rsidR="00854CD4" w:rsidRDefault="00854CD4">
      <w:pPr>
        <w:pStyle w:val="ConsPlusNonformat"/>
        <w:jc w:val="both"/>
      </w:pPr>
      <w:r>
        <w:t>коммунально-бытового   назначения,   масштабный   инвестиционный   проект,</w:t>
      </w:r>
    </w:p>
    <w:p w:rsidR="00854CD4" w:rsidRDefault="00854CD4">
      <w:pPr>
        <w:pStyle w:val="ConsPlusNonformat"/>
        <w:jc w:val="both"/>
      </w:pPr>
      <w:proofErr w:type="gramStart"/>
      <w:r>
        <w:t>предусматривающий  строительство  многоквартирных  домов (многоквартирного</w:t>
      </w:r>
      <w:proofErr w:type="gramEnd"/>
    </w:p>
    <w:p w:rsidR="00854CD4" w:rsidRDefault="00854CD4">
      <w:pPr>
        <w:pStyle w:val="ConsPlusNonformat"/>
        <w:jc w:val="both"/>
      </w:pPr>
      <w:r>
        <w:t>дома)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__________________________________________________________________________</w:t>
      </w:r>
    </w:p>
    <w:p w:rsidR="00854CD4" w:rsidRDefault="00854CD4">
      <w:pPr>
        <w:pStyle w:val="ConsPlusNonformat"/>
        <w:jc w:val="both"/>
      </w:pPr>
      <w:r>
        <w:t xml:space="preserve">                    (наименование объекта или проекта)</w:t>
      </w:r>
    </w:p>
    <w:p w:rsidR="00854CD4" w:rsidRDefault="00854CD4">
      <w:pPr>
        <w:pStyle w:val="ConsPlusNonformat"/>
        <w:jc w:val="both"/>
      </w:pPr>
      <w:r>
        <w:t xml:space="preserve">на  соответствие  критериям, установленным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Курганской области от 5</w:t>
      </w:r>
    </w:p>
    <w:p w:rsidR="00854CD4" w:rsidRDefault="00854CD4">
      <w:pPr>
        <w:pStyle w:val="ConsPlusNonformat"/>
        <w:jc w:val="both"/>
      </w:pPr>
      <w:r>
        <w:t xml:space="preserve">мая   2015   года   N   35   "Об   утверждении  критериев,  которым </w:t>
      </w:r>
      <w:proofErr w:type="gramStart"/>
      <w:r>
        <w:t>должны</w:t>
      </w:r>
      <w:proofErr w:type="gramEnd"/>
    </w:p>
    <w:p w:rsidR="00854CD4" w:rsidRDefault="00854CD4">
      <w:pPr>
        <w:pStyle w:val="ConsPlusNonformat"/>
        <w:jc w:val="both"/>
      </w:pPr>
      <w:r>
        <w:t xml:space="preserve">соответствовать   объекты   </w:t>
      </w:r>
      <w:proofErr w:type="gramStart"/>
      <w:r>
        <w:t>социально-культурного</w:t>
      </w:r>
      <w:proofErr w:type="gramEnd"/>
      <w:r>
        <w:t xml:space="preserve">  и  коммунально-бытового</w:t>
      </w:r>
    </w:p>
    <w:p w:rsidR="00854CD4" w:rsidRDefault="00854CD4">
      <w:pPr>
        <w:pStyle w:val="ConsPlusNonformat"/>
        <w:jc w:val="both"/>
      </w:pPr>
      <w:r>
        <w:t>назначения, масштабные инвестиционные проекты, для размещения (реализации)</w:t>
      </w:r>
    </w:p>
    <w:p w:rsidR="00854CD4" w:rsidRDefault="00854CD4">
      <w:pPr>
        <w:pStyle w:val="ConsPlusNonformat"/>
        <w:jc w:val="both"/>
      </w:pPr>
      <w:proofErr w:type="gramStart"/>
      <w:r>
        <w:lastRenderedPageBreak/>
        <w:t>которых</w:t>
      </w:r>
      <w:proofErr w:type="gramEnd"/>
      <w:r>
        <w:t xml:space="preserve">  допускается  предоставление  земельного  участка,  находящегося в</w:t>
      </w:r>
    </w:p>
    <w:p w:rsidR="00854CD4" w:rsidRDefault="00854CD4">
      <w:pPr>
        <w:pStyle w:val="ConsPlusNonformat"/>
        <w:jc w:val="both"/>
      </w:pPr>
      <w:r>
        <w:t xml:space="preserve">государственной  или  муниципальной  собственности,  в  аренду </w:t>
      </w:r>
      <w:proofErr w:type="gramStart"/>
      <w:r>
        <w:t>юридическим</w:t>
      </w:r>
      <w:proofErr w:type="gramEnd"/>
    </w:p>
    <w:p w:rsidR="00854CD4" w:rsidRDefault="00854CD4">
      <w:pPr>
        <w:pStyle w:val="ConsPlusNonformat"/>
        <w:jc w:val="both"/>
      </w:pPr>
      <w:r>
        <w:t xml:space="preserve">лицам  без проведения торгов", в целях предоставления земельного участка </w:t>
      </w:r>
      <w:proofErr w:type="gramStart"/>
      <w:r>
        <w:t>в</w:t>
      </w:r>
      <w:proofErr w:type="gramEnd"/>
    </w:p>
    <w:p w:rsidR="00854CD4" w:rsidRDefault="00854CD4">
      <w:pPr>
        <w:pStyle w:val="ConsPlusNonformat"/>
        <w:jc w:val="both"/>
      </w:pPr>
      <w:r>
        <w:t>аренду без проведения торгов.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 xml:space="preserve">    Требования заявителя к земельному участку:</w:t>
      </w:r>
    </w:p>
    <w:p w:rsidR="00854CD4" w:rsidRDefault="00854CD4">
      <w:pPr>
        <w:pStyle w:val="ConsPlusNonformat"/>
        <w:jc w:val="both"/>
      </w:pPr>
      <w:r>
        <w:t xml:space="preserve">    1)  кадастровый  номер,  сведения  о  правах на земельный участок (</w:t>
      </w:r>
      <w:proofErr w:type="gramStart"/>
      <w:r>
        <w:t>при</w:t>
      </w:r>
      <w:proofErr w:type="gramEnd"/>
    </w:p>
    <w:p w:rsidR="00854CD4" w:rsidRDefault="00854CD4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в государственном кадастре недвижимости сведений о таком земельном</w:t>
      </w:r>
    </w:p>
    <w:p w:rsidR="00854CD4" w:rsidRDefault="00854CD4">
      <w:pPr>
        <w:pStyle w:val="ConsPlusNonformat"/>
        <w:jc w:val="both"/>
      </w:pPr>
      <w:proofErr w:type="gramStart"/>
      <w:r>
        <w:t>участке</w:t>
      </w:r>
      <w:proofErr w:type="gramEnd"/>
      <w:r>
        <w:t>) ________________________________________________________________;</w:t>
      </w:r>
    </w:p>
    <w:p w:rsidR="00854CD4" w:rsidRDefault="00854CD4">
      <w:pPr>
        <w:pStyle w:val="ConsPlusNonformat"/>
        <w:jc w:val="both"/>
      </w:pPr>
      <w:r>
        <w:t xml:space="preserve">    2) местоположение, категория, площадь земельного участка</w:t>
      </w:r>
    </w:p>
    <w:p w:rsidR="00854CD4" w:rsidRDefault="00854CD4">
      <w:pPr>
        <w:pStyle w:val="ConsPlusNonformat"/>
        <w:jc w:val="both"/>
      </w:pPr>
      <w:r>
        <w:t xml:space="preserve">    ______________________________________________________________________</w:t>
      </w:r>
    </w:p>
    <w:p w:rsidR="00854CD4" w:rsidRDefault="00854CD4">
      <w:pPr>
        <w:pStyle w:val="ConsPlusNonformat"/>
        <w:jc w:val="both"/>
      </w:pPr>
      <w:r>
        <w:t xml:space="preserve">    _____________________________________________________________________;</w:t>
      </w:r>
    </w:p>
    <w:p w:rsidR="00854CD4" w:rsidRDefault="00854CD4">
      <w:pPr>
        <w:pStyle w:val="ConsPlusNonformat"/>
        <w:jc w:val="both"/>
      </w:pPr>
      <w:r>
        <w:t xml:space="preserve">    3) необходимые мощности электр</w:t>
      </w:r>
      <w:proofErr w:type="gramStart"/>
      <w:r>
        <w:t>о-</w:t>
      </w:r>
      <w:proofErr w:type="gramEnd"/>
      <w:r>
        <w:t>, газо-, водоснабжения, водоотведения</w:t>
      </w:r>
    </w:p>
    <w:p w:rsidR="00854CD4" w:rsidRDefault="00854CD4">
      <w:pPr>
        <w:pStyle w:val="ConsPlusNonformat"/>
        <w:jc w:val="both"/>
      </w:pPr>
      <w:r>
        <w:t xml:space="preserve">    _____________________________________________________________________;</w:t>
      </w:r>
    </w:p>
    <w:p w:rsidR="00854CD4" w:rsidRDefault="00854CD4">
      <w:pPr>
        <w:pStyle w:val="ConsPlusNonformat"/>
        <w:jc w:val="both"/>
      </w:pPr>
      <w:r>
        <w:t xml:space="preserve">    4) дополнительная информация по усмотрению заявителя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__________________________________________________________________________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_________________________________________________________________________.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 xml:space="preserve">    Приложение: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__________________________________________________________________________</w:t>
      </w:r>
    </w:p>
    <w:p w:rsidR="00854CD4" w:rsidRDefault="00854CD4">
      <w:pPr>
        <w:pStyle w:val="ConsPlusNonformat"/>
        <w:jc w:val="both"/>
      </w:pPr>
      <w:r>
        <w:t>__________________________________________________________________________</w:t>
      </w:r>
    </w:p>
    <w:p w:rsidR="00854CD4" w:rsidRDefault="00854CD4">
      <w:pPr>
        <w:pStyle w:val="ConsPlusNonformat"/>
        <w:jc w:val="both"/>
      </w:pPr>
      <w:r>
        <w:t xml:space="preserve">                   (документы, прилагаемые к заявлению)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>Руководитель юридического лица (представитель) ___________________________</w:t>
      </w:r>
    </w:p>
    <w:p w:rsidR="00854CD4" w:rsidRDefault="00854CD4">
      <w:pPr>
        <w:pStyle w:val="ConsPlusNonformat"/>
        <w:jc w:val="both"/>
      </w:pPr>
      <w:r>
        <w:t xml:space="preserve">                                               (подпись) ________ (Ф.И.О.)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>Дата</w:t>
      </w:r>
    </w:p>
    <w:p w:rsidR="00854CD4" w:rsidRDefault="00854CD4">
      <w:pPr>
        <w:pStyle w:val="ConsPlusNonformat"/>
        <w:jc w:val="both"/>
      </w:pPr>
    </w:p>
    <w:p w:rsidR="00854CD4" w:rsidRDefault="00854CD4">
      <w:pPr>
        <w:pStyle w:val="ConsPlusNonformat"/>
        <w:jc w:val="both"/>
      </w:pPr>
      <w:r>
        <w:t>М.П.</w:t>
      </w:r>
    </w:p>
    <w:p w:rsidR="00854CD4" w:rsidRDefault="00854CD4">
      <w:pPr>
        <w:pStyle w:val="ConsPlusNonformat"/>
        <w:jc w:val="both"/>
      </w:pPr>
      <w:r>
        <w:t>(при наличии)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ind w:firstLine="540"/>
        <w:jc w:val="both"/>
      </w:pPr>
      <w:r>
        <w:t>--------------------------------</w:t>
      </w:r>
    </w:p>
    <w:p w:rsidR="00854CD4" w:rsidRDefault="00854CD4">
      <w:pPr>
        <w:pStyle w:val="ConsPlusNormal"/>
        <w:spacing w:before="220"/>
        <w:ind w:firstLine="540"/>
        <w:jc w:val="both"/>
      </w:pPr>
      <w:bookmarkStart w:id="17" w:name="P243"/>
      <w:bookmarkEnd w:id="17"/>
      <w:r>
        <w:t>&lt;*&gt; В случае подачи заявления представителем им предъявляется доверенность и паспорт гражданина Российской Федерации.</w:t>
      </w: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jc w:val="center"/>
      </w:pPr>
    </w:p>
    <w:p w:rsidR="00854CD4" w:rsidRDefault="0085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6AB" w:rsidRDefault="008146AB">
      <w:bookmarkStart w:id="18" w:name="_GoBack"/>
      <w:bookmarkEnd w:id="18"/>
    </w:p>
    <w:sectPr w:rsidR="008146AB" w:rsidSect="00A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D4"/>
    <w:rsid w:val="008146AB"/>
    <w:rsid w:val="008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0399C09E6F07AA57B95EB16C7A37D10D76D42B31B8FD72B7E57C399B5A45D9A15FC2734CE6EEF1E4F12310D8F32DFV4YBJ" TargetMode="External"/><Relationship Id="rId13" Type="http://schemas.openxmlformats.org/officeDocument/2006/relationships/hyperlink" Target="consultantplus://offline/ref=BD70399C09E6F07AA57B95EB16C7A37D10D76D42B01C85D5297E57C399B5A45D9A15FC2734CE6EEF1E4F12310D8F32DFV4YBJ" TargetMode="External"/><Relationship Id="rId18" Type="http://schemas.openxmlformats.org/officeDocument/2006/relationships/hyperlink" Target="consultantplus://offline/ref=BD70399C09E6F07AA57B95EB16C7A37D10D76D42B01C85D5297E57C399B5A45D9A15FC2734CE6EEF1E4F12310D8F32DFV4YB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70399C09E6F07AA57B8BE600ABFF7717DD354DB01A878170210C9ECEBCAE0ADD5AA57E719B68B94C154739118E2CDD4C5B6B5654V4YBJ" TargetMode="External"/><Relationship Id="rId7" Type="http://schemas.openxmlformats.org/officeDocument/2006/relationships/hyperlink" Target="consultantplus://offline/ref=BD70399C09E6F07AA57B95EB16C7A37D10D76D42B01C85D5297E57C399B5A45D9A15FC2734CE6EEF1E4F12310D8F32DFV4YBJ" TargetMode="External"/><Relationship Id="rId12" Type="http://schemas.openxmlformats.org/officeDocument/2006/relationships/hyperlink" Target="consultantplus://offline/ref=BD70399C09E6F07AA57B95EB16C7A37D10D76D42B01C85D5297E57C399B5A45D9A15FC35349662ED1D51113618D963991C486B554849ED4F56E4D1V5YAJ" TargetMode="External"/><Relationship Id="rId17" Type="http://schemas.openxmlformats.org/officeDocument/2006/relationships/hyperlink" Target="consultantplus://offline/ref=BD70399C09E6F07AA57B95EB16C7A37D10D76D42B01C85D5297E57C399B5A45D9A15FC35349662ED1D51113118D963991C486B554849ED4F56E4D1V5YA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70399C09E6F07AA57B8BE600ABFF7717DD354DB01A878170210C9ECEBCAE0ADD5AA57E719B68B94C154739118E2CDD4C5B6B5654V4YBJ" TargetMode="External"/><Relationship Id="rId20" Type="http://schemas.openxmlformats.org/officeDocument/2006/relationships/hyperlink" Target="consultantplus://offline/ref=BD70399C09E6F07AA57B95EB16C7A37D10D76D42B01C85D5297E57C399B5A45D9A15FC35349662ED1D51103718D963991C486B554849ED4F56E4D1V5Y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70399C09E6F07AA57B95EB16C7A37D10D76D42B01C85D5297E57C399B5A45D9A15FC2734CE6EEF1E4F12310D8F32DFV4YBJ" TargetMode="External"/><Relationship Id="rId11" Type="http://schemas.openxmlformats.org/officeDocument/2006/relationships/hyperlink" Target="consultantplus://offline/ref=BD70399C09E6F07AA57B95EB16C7A37D10D76D42B01C85D5297E57C399B5A45D9A15FC2734CE6EEF1E4F12310D8F32DFV4YBJ" TargetMode="External"/><Relationship Id="rId24" Type="http://schemas.openxmlformats.org/officeDocument/2006/relationships/hyperlink" Target="consultantplus://offline/ref=BD70399C09E6F07AA57B95EB16C7A37D10D76D42B01C85D5297E57C399B5A45D9A15FC2734CE6EEF1E4F12310D8F32DFV4YB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D70399C09E6F07AA57B95EB16C7A37D10D76D42B01C85D5297E57C399B5A45D9A15FC35349662ED1D51113118D963991C486B554849ED4F56E4D1V5YAJ" TargetMode="External"/><Relationship Id="rId23" Type="http://schemas.openxmlformats.org/officeDocument/2006/relationships/hyperlink" Target="consultantplus://offline/ref=BD70399C09E6F07AA57B95EB16C7A37D10D76D42B01C85D5297E57C399B5A45D9A15FC2734CE6EEF1E4F12310D8F32DFV4YBJ" TargetMode="External"/><Relationship Id="rId10" Type="http://schemas.openxmlformats.org/officeDocument/2006/relationships/hyperlink" Target="consultantplus://offline/ref=BD70399C09E6F07AA57B95EB16C7A37D10D76D42B01C85D5297E57C399B5A45D9A15FC2734CE6EEF1E4F12310D8F32DFV4YBJ" TargetMode="External"/><Relationship Id="rId19" Type="http://schemas.openxmlformats.org/officeDocument/2006/relationships/hyperlink" Target="consultantplus://offline/ref=BD70399C09E6F07AA57B95EB16C7A37D10D76D42B01C85D5297E57C399B5A45D9A15FC2734CE6EEF1E4F12310D8F32DFV4Y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70399C09E6F07AA57B95EB16C7A37D10D76D42B31B8ED42E7E57C399B5A45D9A15FC2734CE6EEF1E4F12310D8F32DFV4YBJ" TargetMode="External"/><Relationship Id="rId14" Type="http://schemas.openxmlformats.org/officeDocument/2006/relationships/hyperlink" Target="consultantplus://offline/ref=BD70399C09E6F07AA57B95EB16C7A37D10D76D42B01C85D5297E57C399B5A45D9A15FC2734CE6EEF1E4F12310D8F32DFV4YBJ" TargetMode="External"/><Relationship Id="rId22" Type="http://schemas.openxmlformats.org/officeDocument/2006/relationships/hyperlink" Target="consultantplus://offline/ref=BD70399C09E6F07AA57B95EB16C7A37D10D76D42B01C85D5297E57C399B5A45D9A15FC2734CE6EEF1E4F12310D8F32DFV4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2022-05-23T09:24:00Z</dcterms:created>
  <dcterms:modified xsi:type="dcterms:W3CDTF">2022-05-23T09:25:00Z</dcterms:modified>
</cp:coreProperties>
</file>